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85" w:rsidRPr="0004209C" w:rsidRDefault="004E5A85" w:rsidP="004E5A85">
      <w:pPr>
        <w:autoSpaceDE w:val="0"/>
        <w:autoSpaceDN w:val="0"/>
        <w:adjustRightInd w:val="0"/>
        <w:spacing w:before="120" w:after="120" w:line="360" w:lineRule="auto"/>
        <w:ind w:left="0" w:right="0"/>
        <w:rPr>
          <w:rFonts w:asciiTheme="majorHAnsi" w:hAnsiTheme="majorHAnsi" w:cs="TimesET"/>
          <w:b/>
          <w:bCs/>
          <w:color w:val="002060"/>
          <w:sz w:val="36"/>
          <w:szCs w:val="28"/>
        </w:rPr>
      </w:pPr>
      <w:bookmarkStart w:id="0" w:name="Р22"/>
      <w:r w:rsidRPr="0004209C">
        <w:rPr>
          <w:rFonts w:asciiTheme="majorHAnsi" w:hAnsiTheme="majorHAnsi" w:cs="TimesET"/>
          <w:b/>
          <w:bCs/>
          <w:color w:val="002060"/>
          <w:sz w:val="36"/>
          <w:szCs w:val="28"/>
        </w:rPr>
        <w:t>СЛОВАРЬ</w:t>
      </w:r>
      <w:r w:rsidRPr="0004209C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begin"/>
      </w:r>
      <w:r w:rsidRPr="0004209C">
        <w:rPr>
          <w:rFonts w:asciiTheme="majorHAnsi" w:hAnsiTheme="majorHAnsi" w:cs="Times New Roman"/>
          <w:b/>
          <w:bCs/>
          <w:color w:val="002060"/>
          <w:sz w:val="36"/>
          <w:szCs w:val="28"/>
        </w:rPr>
        <w:instrText>tc "</w:instrText>
      </w:r>
      <w:r w:rsidRPr="0004209C">
        <w:rPr>
          <w:rFonts w:asciiTheme="majorHAnsi" w:hAnsiTheme="majorHAnsi" w:cs="TimesET"/>
          <w:b/>
          <w:bCs/>
          <w:color w:val="002060"/>
          <w:sz w:val="36"/>
          <w:szCs w:val="28"/>
        </w:rPr>
        <w:instrText>Словарь"</w:instrText>
      </w:r>
      <w:r w:rsidRPr="0004209C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end"/>
      </w:r>
      <w:r w:rsidRPr="0004209C">
        <w:rPr>
          <w:rFonts w:asciiTheme="majorHAnsi" w:hAnsiTheme="majorHAnsi" w:cs="TimesET"/>
          <w:b/>
          <w:bCs/>
          <w:color w:val="002060"/>
          <w:sz w:val="36"/>
          <w:szCs w:val="28"/>
        </w:rPr>
        <w:t xml:space="preserve"> ИНОСТРАННЫХ СЛОВ И ВЫРАЖЕНИЙ</w:t>
      </w:r>
      <w:r w:rsidRPr="0004209C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begin"/>
      </w:r>
      <w:r w:rsidRPr="0004209C">
        <w:rPr>
          <w:rFonts w:asciiTheme="majorHAnsi" w:hAnsiTheme="majorHAnsi" w:cs="Times New Roman"/>
          <w:b/>
          <w:bCs/>
          <w:color w:val="002060"/>
          <w:sz w:val="36"/>
          <w:szCs w:val="28"/>
        </w:rPr>
        <w:instrText>tc "</w:instrText>
      </w:r>
      <w:r w:rsidRPr="0004209C">
        <w:rPr>
          <w:rFonts w:asciiTheme="majorHAnsi" w:hAnsiTheme="majorHAnsi" w:cs="TimesET"/>
          <w:b/>
          <w:bCs/>
          <w:color w:val="002060"/>
          <w:sz w:val="36"/>
          <w:szCs w:val="28"/>
        </w:rPr>
        <w:instrText>иностранных слов и выражений"</w:instrText>
      </w:r>
      <w:r w:rsidRPr="0004209C">
        <w:rPr>
          <w:rFonts w:asciiTheme="majorHAnsi" w:hAnsiTheme="majorHAnsi" w:cs="TimesET"/>
          <w:b/>
          <w:bCs/>
          <w:color w:val="002060"/>
          <w:sz w:val="36"/>
          <w:szCs w:val="28"/>
        </w:rPr>
        <w:fldChar w:fldCharType="end"/>
      </w:r>
    </w:p>
    <w:bookmarkEnd w:id="0"/>
    <w:p w:rsidR="004E5A85" w:rsidRPr="0004209C" w:rsidRDefault="004E5A85" w:rsidP="004E5A85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 w:cs="TimesET"/>
          <w:i/>
          <w:iCs/>
          <w:color w:val="002060"/>
          <w:sz w:val="28"/>
          <w:szCs w:val="28"/>
        </w:rPr>
        <w:t>Abbe</w:t>
      </w:r>
      <w:r w:rsidRPr="0004209C">
        <w:rPr>
          <w:rFonts w:asciiTheme="majorHAnsi" w:hAnsiTheme="majorHAnsi" w:cs="TimesET"/>
          <w:color w:val="002060"/>
          <w:sz w:val="28"/>
          <w:szCs w:val="28"/>
        </w:rPr>
        <w:t xml:space="preserve"> (фр.) — аббат.</w:t>
      </w:r>
    </w:p>
    <w:p w:rsidR="004E5A85" w:rsidRPr="0004209C" w:rsidRDefault="004E5A85" w:rsidP="004E5A85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 w:cs="TimesET"/>
          <w:i/>
          <w:iCs/>
          <w:color w:val="002060"/>
          <w:sz w:val="28"/>
          <w:szCs w:val="28"/>
        </w:rPr>
        <w:t>Adeptus Coronatus</w:t>
      </w:r>
      <w:r w:rsidRPr="0004209C">
        <w:rPr>
          <w:rFonts w:asciiTheme="majorHAnsi" w:hAnsiTheme="majorHAnsi" w:cs="TimesET"/>
          <w:color w:val="002060"/>
          <w:sz w:val="28"/>
          <w:szCs w:val="28"/>
        </w:rPr>
        <w:t xml:space="preserve"> (лат.) — увенчанный.</w:t>
      </w:r>
    </w:p>
    <w:p w:rsidR="004E5A85" w:rsidRPr="0004209C" w:rsidRDefault="004E5A85" w:rsidP="004E5A85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04209C">
        <w:rPr>
          <w:rFonts w:asciiTheme="majorHAnsi" w:hAnsiTheme="majorHAnsi" w:cs="TimesET"/>
          <w:i/>
          <w:iCs/>
          <w:color w:val="002060"/>
          <w:sz w:val="28"/>
          <w:szCs w:val="28"/>
        </w:rPr>
        <w:t>Adeptus Exemptus</w:t>
      </w:r>
      <w:r w:rsidRPr="0004209C">
        <w:rPr>
          <w:rFonts w:asciiTheme="majorHAnsi" w:hAnsiTheme="majorHAnsi" w:cs="TimesET"/>
          <w:color w:val="002060"/>
          <w:sz w:val="28"/>
          <w:szCs w:val="28"/>
        </w:rPr>
        <w:t xml:space="preserve"> (лат.) — освобожденный.</w:t>
      </w:r>
    </w:p>
    <w:p w:rsidR="004E5A85" w:rsidRPr="0004209C" w:rsidRDefault="004E5A85" w:rsidP="004E5A85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 w:cs="TimesET"/>
          <w:i/>
          <w:iCs/>
          <w:color w:val="002060"/>
          <w:sz w:val="28"/>
          <w:szCs w:val="28"/>
        </w:rPr>
        <w:t>A fortiori</w:t>
      </w:r>
      <w:r w:rsidRPr="0004209C">
        <w:rPr>
          <w:rFonts w:asciiTheme="majorHAnsi" w:hAnsiTheme="majorHAnsi" w:cs="TimesET"/>
          <w:color w:val="002060"/>
          <w:sz w:val="28"/>
          <w:szCs w:val="28"/>
        </w:rPr>
        <w:t xml:space="preserve"> (лат.) — исходя из более весомого; тем более; и подавно.</w:t>
      </w:r>
    </w:p>
    <w:p w:rsidR="004E5A85" w:rsidRPr="0004209C" w:rsidRDefault="004E5A85" w:rsidP="004E5A85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04209C">
        <w:rPr>
          <w:rFonts w:asciiTheme="majorHAnsi" w:hAnsiTheme="majorHAnsi" w:cs="TimesET"/>
          <w:i/>
          <w:iCs/>
          <w:color w:val="002060"/>
          <w:sz w:val="28"/>
          <w:szCs w:val="28"/>
        </w:rPr>
        <w:t>Agnus Dei</w:t>
      </w:r>
      <w:r w:rsidRPr="0004209C">
        <w:rPr>
          <w:rFonts w:asciiTheme="majorHAnsi" w:hAnsiTheme="majorHAnsi" w:cs="TimesET"/>
          <w:color w:val="002060"/>
          <w:sz w:val="28"/>
          <w:szCs w:val="28"/>
        </w:rPr>
        <w:t xml:space="preserve"> (лат.) — Агнец божий.</w:t>
      </w:r>
    </w:p>
    <w:p w:rsidR="004E5A85" w:rsidRPr="0004209C" w:rsidRDefault="004E5A85" w:rsidP="004E5A85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04209C">
        <w:rPr>
          <w:rFonts w:asciiTheme="majorHAnsi" w:hAnsiTheme="majorHAnsi" w:cs="TimesET"/>
          <w:i/>
          <w:iCs/>
          <w:color w:val="002060"/>
          <w:sz w:val="28"/>
          <w:szCs w:val="28"/>
        </w:rPr>
        <w:t>Alba vestis</w:t>
      </w:r>
      <w:r w:rsidRPr="0004209C">
        <w:rPr>
          <w:rFonts w:asciiTheme="majorHAnsi" w:hAnsiTheme="majorHAnsi" w:cs="TimesET"/>
          <w:color w:val="002060"/>
          <w:sz w:val="28"/>
          <w:szCs w:val="28"/>
        </w:rPr>
        <w:t xml:space="preserve"> (лат.) — белые одежды.</w:t>
      </w:r>
    </w:p>
    <w:p w:rsidR="004E5A85" w:rsidRPr="0004209C" w:rsidRDefault="004E5A85" w:rsidP="004E5A85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04209C">
        <w:rPr>
          <w:rFonts w:asciiTheme="majorHAnsi" w:hAnsiTheme="majorHAnsi" w:cs="TimesET"/>
          <w:i/>
          <w:iCs/>
          <w:color w:val="002060"/>
          <w:sz w:val="28"/>
          <w:szCs w:val="28"/>
        </w:rPr>
        <w:t>Alma Venus</w:t>
      </w:r>
      <w:r w:rsidRPr="0004209C">
        <w:rPr>
          <w:rFonts w:asciiTheme="majorHAnsi" w:hAnsiTheme="majorHAnsi" w:cs="TimesET"/>
          <w:color w:val="002060"/>
          <w:sz w:val="28"/>
          <w:szCs w:val="28"/>
        </w:rPr>
        <w:t xml:space="preserve"> (лат.) — Венера питающая.</w:t>
      </w:r>
    </w:p>
    <w:p w:rsidR="004E5A85" w:rsidRPr="0004209C" w:rsidRDefault="004E5A85" w:rsidP="004E5A85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 w:cs="TimesET"/>
          <w:i/>
          <w:iCs/>
          <w:color w:val="002060"/>
          <w:sz w:val="28"/>
          <w:szCs w:val="28"/>
        </w:rPr>
        <w:t>Ame damnee</w:t>
      </w:r>
      <w:r w:rsidRPr="0004209C">
        <w:rPr>
          <w:rFonts w:asciiTheme="majorHAnsi" w:hAnsiTheme="majorHAnsi" w:cs="TimesET"/>
          <w:color w:val="002060"/>
          <w:sz w:val="28"/>
          <w:szCs w:val="28"/>
        </w:rPr>
        <w:t xml:space="preserve"> (фр.) — «проклятая душа».</w:t>
      </w:r>
    </w:p>
    <w:p w:rsidR="004E5A85" w:rsidRPr="0004209C" w:rsidRDefault="004E5A85" w:rsidP="004E5A85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 w:cs="TimesET"/>
          <w:i/>
          <w:iCs/>
          <w:color w:val="002060"/>
          <w:sz w:val="28"/>
          <w:szCs w:val="28"/>
        </w:rPr>
        <w:t>A mensa et thoro</w:t>
      </w:r>
      <w:r w:rsidRPr="0004209C">
        <w:rPr>
          <w:rFonts w:asciiTheme="majorHAnsi" w:hAnsiTheme="majorHAnsi" w:cs="TimesET"/>
          <w:color w:val="002060"/>
          <w:sz w:val="28"/>
          <w:szCs w:val="28"/>
        </w:rPr>
        <w:t xml:space="preserve"> (лат.) — отлучение «от стола и ложа», т.е. прекращение ведения супругами совместного хозяйства.</w:t>
      </w:r>
    </w:p>
    <w:p w:rsidR="004E5A85" w:rsidRPr="0004209C" w:rsidRDefault="004E5A85" w:rsidP="004E5A85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 w:cs="TimesET"/>
          <w:i/>
          <w:iCs/>
          <w:color w:val="002060"/>
          <w:sz w:val="28"/>
          <w:szCs w:val="28"/>
        </w:rPr>
        <w:t>Anathema maranatha</w:t>
      </w:r>
      <w:r w:rsidRPr="0004209C">
        <w:rPr>
          <w:rFonts w:asciiTheme="majorHAnsi" w:hAnsiTheme="majorHAnsi" w:cs="TimesET"/>
          <w:color w:val="002060"/>
          <w:sz w:val="28"/>
          <w:szCs w:val="28"/>
        </w:rPr>
        <w:t xml:space="preserve"> (лат.) — «Да будет проклят».</w:t>
      </w:r>
    </w:p>
    <w:p w:rsidR="004E5A85" w:rsidRPr="0004209C" w:rsidRDefault="004E5A85" w:rsidP="004E5A85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 w:cs="TimesET"/>
          <w:i/>
          <w:iCs/>
          <w:color w:val="002060"/>
          <w:sz w:val="28"/>
          <w:szCs w:val="28"/>
        </w:rPr>
        <w:t>Ante-omniae</w:t>
      </w:r>
      <w:r w:rsidRPr="0004209C">
        <w:rPr>
          <w:rFonts w:asciiTheme="majorHAnsi" w:hAnsiTheme="majorHAnsi" w:cs="TimesET"/>
          <w:color w:val="002060"/>
          <w:sz w:val="28"/>
          <w:szCs w:val="28"/>
        </w:rPr>
        <w:t xml:space="preserve"> (лат.) — против всех.</w:t>
      </w:r>
    </w:p>
    <w:p w:rsidR="004E5A85" w:rsidRPr="0004209C" w:rsidRDefault="004E5A85" w:rsidP="004E5A85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04209C">
        <w:rPr>
          <w:rFonts w:asciiTheme="majorHAnsi" w:hAnsiTheme="majorHAnsi" w:cs="TimesET"/>
          <w:i/>
          <w:iCs/>
          <w:color w:val="002060"/>
          <w:sz w:val="28"/>
          <w:szCs w:val="28"/>
        </w:rPr>
        <w:t>Apres moi le deluge</w:t>
      </w:r>
      <w:r w:rsidRPr="0004209C">
        <w:rPr>
          <w:rFonts w:asciiTheme="majorHAnsi" w:hAnsiTheme="majorHAnsi" w:cs="TimesET"/>
          <w:color w:val="002060"/>
          <w:sz w:val="28"/>
          <w:szCs w:val="28"/>
        </w:rPr>
        <w:t xml:space="preserve"> (лат.) — «После нас хоть потоп».</w:t>
      </w:r>
    </w:p>
    <w:p w:rsidR="004E5A85" w:rsidRPr="0004209C" w:rsidRDefault="004E5A85" w:rsidP="004E5A85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 w:cs="TimesET"/>
          <w:i/>
          <w:iCs/>
          <w:color w:val="002060"/>
          <w:sz w:val="28"/>
          <w:szCs w:val="28"/>
        </w:rPr>
        <w:t>A priori</w:t>
      </w:r>
      <w:r w:rsidRPr="0004209C">
        <w:rPr>
          <w:rFonts w:asciiTheme="majorHAnsi" w:hAnsiTheme="majorHAnsi" w:cs="TimesET"/>
          <w:color w:val="002060"/>
          <w:sz w:val="28"/>
          <w:szCs w:val="28"/>
        </w:rPr>
        <w:t xml:space="preserve"> (лат.) — «из предыдущего», на основании ранее известного.</w:t>
      </w:r>
    </w:p>
    <w:p w:rsidR="004E5A85" w:rsidRPr="0004209C" w:rsidRDefault="004E5A85" w:rsidP="004E5A85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04209C">
        <w:rPr>
          <w:rFonts w:asciiTheme="majorHAnsi" w:hAnsiTheme="majorHAnsi" w:cs="TimesET"/>
          <w:i/>
          <w:iCs/>
          <w:color w:val="002060"/>
          <w:sz w:val="28"/>
          <w:szCs w:val="28"/>
        </w:rPr>
        <w:t>Ara maxima</w:t>
      </w:r>
      <w:r w:rsidRPr="0004209C">
        <w:rPr>
          <w:rFonts w:asciiTheme="majorHAnsi" w:hAnsiTheme="majorHAnsi" w:cs="TimesET"/>
          <w:color w:val="002060"/>
          <w:sz w:val="28"/>
          <w:szCs w:val="28"/>
        </w:rPr>
        <w:t xml:space="preserve"> (лат.) — великий алтарь; в христианских церквях — главный престол.</w:t>
      </w:r>
    </w:p>
    <w:p w:rsidR="004E5A85" w:rsidRPr="0004209C" w:rsidRDefault="004E5A85" w:rsidP="004E5A85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04209C">
        <w:rPr>
          <w:rFonts w:asciiTheme="majorHAnsi" w:hAnsiTheme="majorHAnsi" w:cs="TimesET"/>
          <w:i/>
          <w:iCs/>
          <w:color w:val="002060"/>
          <w:sz w:val="28"/>
          <w:szCs w:val="28"/>
        </w:rPr>
        <w:t>Au vif</w:t>
      </w:r>
      <w:r w:rsidRPr="0004209C">
        <w:rPr>
          <w:rFonts w:asciiTheme="majorHAnsi" w:hAnsiTheme="majorHAnsi" w:cs="TimesET"/>
          <w:color w:val="002060"/>
          <w:sz w:val="28"/>
          <w:szCs w:val="28"/>
        </w:rPr>
        <w:t xml:space="preserve"> (фр.) — за живое.</w:t>
      </w:r>
    </w:p>
    <w:p w:rsidR="004E5A85" w:rsidRPr="0004209C" w:rsidRDefault="004E5A85" w:rsidP="004E5A85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04209C">
        <w:rPr>
          <w:rFonts w:asciiTheme="majorHAnsi" w:hAnsiTheme="majorHAnsi" w:cs="TimesET"/>
          <w:i/>
          <w:iCs/>
          <w:color w:val="002060"/>
          <w:sz w:val="28"/>
          <w:szCs w:val="28"/>
        </w:rPr>
        <w:t>A vinculo matrimoniis</w:t>
      </w:r>
      <w:r w:rsidRPr="0004209C">
        <w:rPr>
          <w:rFonts w:asciiTheme="majorHAnsi" w:hAnsiTheme="majorHAnsi" w:cs="TimesET"/>
          <w:color w:val="002060"/>
          <w:sz w:val="28"/>
          <w:szCs w:val="28"/>
        </w:rPr>
        <w:t xml:space="preserve"> (лат.) — разрыв брачных связей.</w:t>
      </w:r>
    </w:p>
    <w:p w:rsidR="004E5A85" w:rsidRPr="0004209C" w:rsidRDefault="004E5A85" w:rsidP="004E5A85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color w:val="002060"/>
          <w:sz w:val="28"/>
          <w:szCs w:val="28"/>
        </w:rPr>
      </w:pPr>
      <w:r w:rsidRPr="0004209C">
        <w:rPr>
          <w:rFonts w:asciiTheme="majorHAnsi" w:hAnsiTheme="majorHAnsi" w:cs="TimesET"/>
          <w:i/>
          <w:iCs/>
          <w:color w:val="002060"/>
          <w:sz w:val="28"/>
          <w:szCs w:val="28"/>
        </w:rPr>
        <w:t>Bal masque</w:t>
      </w:r>
      <w:r w:rsidRPr="0004209C">
        <w:rPr>
          <w:rFonts w:asciiTheme="majorHAnsi" w:hAnsiTheme="majorHAnsi" w:cs="TimesET"/>
          <w:color w:val="002060"/>
          <w:sz w:val="28"/>
          <w:szCs w:val="28"/>
        </w:rPr>
        <w:t xml:space="preserve"> (фр.) — бал-маскарад.</w:t>
      </w:r>
    </w:p>
    <w:p w:rsidR="004E5A85" w:rsidRPr="0004209C" w:rsidRDefault="004E5A85" w:rsidP="004E5A85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 w:cs="TimesET"/>
          <w:i/>
          <w:iCs/>
          <w:color w:val="002060"/>
          <w:sz w:val="28"/>
          <w:szCs w:val="28"/>
        </w:rPr>
        <w:t>Caena</w:t>
      </w:r>
      <w:r w:rsidRPr="0004209C">
        <w:rPr>
          <w:rFonts w:asciiTheme="majorHAnsi" w:hAnsiTheme="majorHAnsi" w:cs="TimesET"/>
          <w:color w:val="002060"/>
          <w:sz w:val="28"/>
          <w:szCs w:val="28"/>
        </w:rPr>
        <w:t xml:space="preserve"> (лат.) — обед, трапеза.</w:t>
      </w:r>
    </w:p>
    <w:p w:rsidR="004E5A85" w:rsidRPr="0004209C" w:rsidRDefault="004E5A85" w:rsidP="004E5A85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 w:cs="TimesET"/>
          <w:i/>
          <w:iCs/>
          <w:color w:val="002060"/>
          <w:sz w:val="28"/>
          <w:szCs w:val="28"/>
        </w:rPr>
        <w:t>Cum grano salis</w:t>
      </w:r>
      <w:r w:rsidRPr="0004209C">
        <w:rPr>
          <w:rFonts w:asciiTheme="majorHAnsi" w:hAnsiTheme="majorHAnsi" w:cs="TimesET"/>
          <w:color w:val="002060"/>
          <w:sz w:val="28"/>
          <w:szCs w:val="28"/>
        </w:rPr>
        <w:t xml:space="preserve"> (лат.) — «с крупинкой соли»; т.е. с солью остроумия, иронически, насмешливо или критиче</w:t>
      </w:r>
      <w:r w:rsidRPr="0004209C">
        <w:rPr>
          <w:rFonts w:asciiTheme="majorHAnsi" w:hAnsiTheme="majorHAnsi" w:cs="TimesET"/>
          <w:color w:val="002060"/>
          <w:sz w:val="28"/>
          <w:szCs w:val="28"/>
        </w:rPr>
        <w:softHyphen/>
        <w:t>ски, с известной оговоркой, с осторожностью.</w:t>
      </w:r>
    </w:p>
    <w:p w:rsidR="004E5A85" w:rsidRPr="0004209C" w:rsidRDefault="004E5A85" w:rsidP="004E5A85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 w:cs="TimesET"/>
          <w:i/>
          <w:iCs/>
          <w:color w:val="002060"/>
          <w:sz w:val="28"/>
          <w:szCs w:val="28"/>
        </w:rPr>
        <w:t>God</w:t>
      </w:r>
      <w:r w:rsidRPr="0004209C">
        <w:rPr>
          <w:rFonts w:asciiTheme="majorHAnsi" w:hAnsiTheme="majorHAnsi" w:cs="TimesET"/>
          <w:color w:val="002060"/>
          <w:sz w:val="28"/>
          <w:szCs w:val="28"/>
        </w:rPr>
        <w:t xml:space="preserve"> (англ.) — Бог.</w:t>
      </w:r>
    </w:p>
    <w:p w:rsidR="004E5A85" w:rsidRPr="0004209C" w:rsidRDefault="004E5A85" w:rsidP="004E5A85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 w:cs="TimesET"/>
          <w:i/>
          <w:iCs/>
          <w:color w:val="002060"/>
          <w:sz w:val="28"/>
          <w:szCs w:val="28"/>
        </w:rPr>
        <w:t>Delirium tremens</w:t>
      </w:r>
      <w:r w:rsidRPr="0004209C">
        <w:rPr>
          <w:rFonts w:asciiTheme="majorHAnsi" w:hAnsiTheme="majorHAnsi" w:cs="TimesET"/>
          <w:color w:val="002060"/>
          <w:sz w:val="28"/>
          <w:szCs w:val="28"/>
        </w:rPr>
        <w:t xml:space="preserve"> (лат.) — белая горячка.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Deus Caelum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Бог-Небо.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Dolce farmiente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(итал.) — восхитительное безделье.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Dominus Vobiscum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Господь с вами.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lastRenderedPageBreak/>
        <w:t>Dramatis personae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действующие лица.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Entr’acte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(фр.) — антракт.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Envoutement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(фр.) — от глагола</w:t>
      </w: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 xml:space="preserve"> envouter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— «сглазить», «околдовать». 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Et cum spiritu tuo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«И с духом твоим...»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Fais que dois, advienne que pourra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(фр.) — «Делай что можешь, и будь что будет».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Fratres, sobrii estote et vigilate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«Братья, будьте рассудительны и бодрствуйте».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Fuir et deserter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(фр.) — дезертировать.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Hoi polloi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(греч.) — народные массы, простонародье.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Ignus fatuus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блуждающий огонек.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In articulo mortis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в момент смерти, на смертном одре.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Index expurgatorius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список запрещенных католической церковью книг.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In extenso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полностью, без сокращений.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In toto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полностью, в целом.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Magna Mater, Vas honestissime, purissime, castissime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«Великая Мать, Сосуд благороднейший, чистейший, целомудреннейший».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Malgre lui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(фр.) — вопреки себе.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Mater Salvatoris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Мать Спасителя.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Mea culpa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моя вина.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Mercurius quadratus, quadriceps, quadrifronts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т.е. «Меркурий квадратный, четырехглавый, четырехликий».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Missa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месса.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Messis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дословно: жатва, урожай.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Modus operandi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способ действия, методы кого-либо или механизм действия чего-либо.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Neomenia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(греч.) — новолуние, отмечавшееся празднеством.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Nolens volens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«неволей или волей», волей-неволей, хочешь-не хочешь.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lastRenderedPageBreak/>
        <w:t>Non cuivis homini contingit adire Corinthum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«Не всякому человеку удается попасть в Коринф»; т.е. не все имеют одинаковые задатки.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Odium theologicum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религиозная нетерпимость.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O imitatores, servum pecus!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«О подражатели, рабское стадо!»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Omnes gentes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все племя.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O redemptor mundi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«О спаситель мира».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Pari passu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(фр.) — повсеместно.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Pates de foies gras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(фр.) — паштет из печеночного жира.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Per se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сам по себе, как таковой, в чистом виде.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Per secula seclorum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на веки вечные.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Politesse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(фр.) — вежливость, учтивость, обычно чрезмерная, притворство.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Princeps porta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главные ворота.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Pro bono publico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ради общего блага.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Profondement indifferents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(фр.) — абсолютное безразличие.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Qui s’excuse s’accuse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(фр.) — «Кто извиняется, признает себя виновным».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Raison d’etre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(фр.) — причина существования.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Rara avis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редкая птица, «белая ворона».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Rechauffe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(фр.) — разогретое блюдо.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Ride si sapis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«Смейся, если понимаешь».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Rose-Croix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(фр.) — «Роза-Крест».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Sauve qui peut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(фр.) — «Спасайся, кто может».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Sic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так. Заключенное обычно в скобки, это слово указывает на желание автора привлечь особое внимание читателя к данному месту, чтобы подчеркнуть, что употреблено именно отмечаемое слово.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Sic transit gloria mundi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«Так проходит мирская (земная) слава».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Sine qua non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«без чего нет», т.е. обязательный. 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Sol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Солнце.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Solus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единственный.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lastRenderedPageBreak/>
        <w:t>Sub rosa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«Под розой», иными словами: тайно, скрыто. 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Sui generis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своего рода; особого рода; своеобразный.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04209C">
        <w:rPr>
          <w:rFonts w:asciiTheme="majorHAnsi" w:hAnsiTheme="majorHAnsi"/>
          <w:color w:val="002060"/>
          <w:sz w:val="28"/>
          <w:szCs w:val="28"/>
        </w:rPr>
        <w:t>S</w:t>
      </w: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ummum bonum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высшее благо.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Sunday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и</w:t>
      </w: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 xml:space="preserve"> Sonntag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— английское и немецкое названия воскресенья, одинаково означающие «день Солнца». 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Terra incognita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неведомая земля, нечто неизве</w:t>
      </w:r>
      <w:r w:rsidRPr="0004209C">
        <w:rPr>
          <w:rFonts w:asciiTheme="majorHAnsi" w:hAnsiTheme="majorHAnsi"/>
          <w:color w:val="002060"/>
          <w:sz w:val="28"/>
          <w:szCs w:val="28"/>
        </w:rPr>
        <w:softHyphen/>
        <w:t>стное.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Tete-a-tete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(фр.) — свидание с глазу на глаз, один на один.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Triformis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трехформенная.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Tutti quanti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полный набор; все без исключения.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Ultima Thule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«Край света»; здесь — «предел мечтаний». 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Utrum horum mavis accipe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«Выбери то, что тебе больше нравится»; выбирай любое из двух зол.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Vanitas vanitatum; omnia vanitas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«Суета сует; всяческая суета».</w:t>
      </w:r>
    </w:p>
    <w:p w:rsidR="004E5A85" w:rsidRPr="0004209C" w:rsidRDefault="004E5A85" w:rsidP="004E5A85">
      <w:pPr>
        <w:pStyle w:val="2"/>
        <w:spacing w:before="120" w:after="120" w:line="276" w:lineRule="auto"/>
        <w:ind w:left="0" w:firstLine="0"/>
        <w:rPr>
          <w:rFonts w:asciiTheme="majorHAnsi" w:hAnsiTheme="majorHAnsi"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Virgo Paritura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Дева Рождающая.</w:t>
      </w:r>
    </w:p>
    <w:p w:rsidR="004E5A85" w:rsidRPr="0004209C" w:rsidRDefault="004E5A85" w:rsidP="004E5A85">
      <w:pPr>
        <w:autoSpaceDE w:val="0"/>
        <w:autoSpaceDN w:val="0"/>
        <w:adjustRightInd w:val="0"/>
        <w:spacing w:before="120" w:after="120" w:line="276" w:lineRule="auto"/>
        <w:ind w:left="0" w:right="0"/>
        <w:jc w:val="both"/>
        <w:rPr>
          <w:rFonts w:asciiTheme="majorHAnsi" w:hAnsiTheme="majorHAnsi" w:cs="TimesET"/>
          <w:i/>
          <w:iCs/>
          <w:color w:val="002060"/>
          <w:sz w:val="28"/>
          <w:szCs w:val="28"/>
        </w:rPr>
      </w:pPr>
      <w:r w:rsidRPr="0004209C">
        <w:rPr>
          <w:rFonts w:asciiTheme="majorHAnsi" w:hAnsiTheme="majorHAnsi"/>
          <w:i/>
          <w:iCs/>
          <w:color w:val="002060"/>
          <w:sz w:val="28"/>
          <w:szCs w:val="28"/>
        </w:rPr>
        <w:t>Vox populi</w:t>
      </w:r>
      <w:r w:rsidRPr="0004209C">
        <w:rPr>
          <w:rFonts w:asciiTheme="majorHAnsi" w:hAnsiTheme="majorHAnsi"/>
          <w:color w:val="002060"/>
          <w:sz w:val="28"/>
          <w:szCs w:val="28"/>
        </w:rPr>
        <w:t xml:space="preserve"> (лат.) — глас народа.</w:t>
      </w:r>
    </w:p>
    <w:p w:rsidR="00944E3E" w:rsidRDefault="00944E3E" w:rsidP="004E5A85">
      <w:pPr>
        <w:spacing w:before="0" w:after="0"/>
        <w:ind w:left="0" w:right="0"/>
      </w:pPr>
    </w:p>
    <w:sectPr w:rsidR="00944E3E" w:rsidSect="004E5A85">
      <w:headerReference w:type="default" r:id="rId6"/>
      <w:footerReference w:type="default" r:id="rId7"/>
      <w:headerReference w:type="first" r:id="rId8"/>
      <w:pgSz w:w="11906" w:h="16838"/>
      <w:pgMar w:top="1134" w:right="851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CDC" w:rsidRDefault="00072CDC" w:rsidP="004E5A85">
      <w:pPr>
        <w:spacing w:before="0" w:after="0"/>
      </w:pPr>
      <w:r>
        <w:separator/>
      </w:r>
    </w:p>
  </w:endnote>
  <w:endnote w:type="continuationSeparator" w:id="0">
    <w:p w:rsidR="00072CDC" w:rsidRDefault="00072CDC" w:rsidP="004E5A8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136515"/>
      <w:docPartObj>
        <w:docPartGallery w:val="Page Numbers (Bottom of Page)"/>
        <w:docPartUnique/>
      </w:docPartObj>
    </w:sdtPr>
    <w:sdtEndPr/>
    <w:sdtContent>
      <w:p w:rsidR="00CD382C" w:rsidRPr="00963AB7" w:rsidRDefault="00072CDC" w:rsidP="00963AB7">
        <w:pPr>
          <w:pStyle w:val="a5"/>
          <w:spacing w:before="120"/>
          <w:ind w:right="284"/>
          <w:jc w:val="right"/>
          <w:rPr>
            <w:color w:val="002060"/>
          </w:rPr>
        </w:pPr>
        <w:r w:rsidRPr="00963AB7">
          <w:rPr>
            <w:color w:val="002060"/>
          </w:rPr>
          <w:fldChar w:fldCharType="begin"/>
        </w:r>
        <w:r w:rsidRPr="00963AB7">
          <w:rPr>
            <w:color w:val="002060"/>
          </w:rPr>
          <w:instrText xml:space="preserve"> PAGE   \* MERGEFORMAT </w:instrText>
        </w:r>
        <w:r w:rsidRPr="00963AB7">
          <w:rPr>
            <w:color w:val="002060"/>
          </w:rPr>
          <w:fldChar w:fldCharType="separate"/>
        </w:r>
        <w:r w:rsidR="004E5A85">
          <w:rPr>
            <w:noProof/>
            <w:color w:val="002060"/>
          </w:rPr>
          <w:t>1</w:t>
        </w:r>
        <w:r w:rsidRPr="00963AB7">
          <w:rPr>
            <w:color w:val="002060"/>
          </w:rPr>
          <w:fldChar w:fldCharType="end"/>
        </w:r>
      </w:p>
    </w:sdtContent>
  </w:sdt>
  <w:p w:rsidR="00CD382C" w:rsidRDefault="00072C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CDC" w:rsidRDefault="00072CDC" w:rsidP="004E5A85">
      <w:pPr>
        <w:spacing w:before="0" w:after="0"/>
      </w:pPr>
      <w:r>
        <w:separator/>
      </w:r>
    </w:p>
  </w:footnote>
  <w:footnote w:type="continuationSeparator" w:id="0">
    <w:p w:rsidR="00072CDC" w:rsidRDefault="00072CDC" w:rsidP="004E5A8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85" w:rsidRPr="00ED2594" w:rsidRDefault="004E5A85" w:rsidP="004E5A85">
    <w:pPr>
      <w:pStyle w:val="a3"/>
      <w:tabs>
        <w:tab w:val="clear" w:pos="4677"/>
        <w:tab w:val="clear" w:pos="9355"/>
      </w:tabs>
      <w:spacing w:line="276" w:lineRule="auto"/>
      <w:ind w:left="0" w:right="-1"/>
      <w:rPr>
        <w:rFonts w:asciiTheme="majorHAnsi" w:hAnsiTheme="majorHAnsi"/>
        <w:color w:val="002060"/>
      </w:rPr>
    </w:pPr>
    <w:r w:rsidRPr="00ED2594">
      <w:rPr>
        <w:rFonts w:asciiTheme="majorHAnsi" w:hAnsiTheme="majorHAnsi"/>
        <w:color w:val="002060"/>
      </w:rPr>
      <w:t>Е.П. Блаватская. Сборник статей «</w:t>
    </w:r>
    <w:r>
      <w:rPr>
        <w:rFonts w:asciiTheme="majorHAnsi" w:hAnsiTheme="majorHAnsi"/>
        <w:color w:val="002060"/>
      </w:rPr>
      <w:t>Новый Цикл</w:t>
    </w:r>
    <w:r w:rsidRPr="00ED2594">
      <w:rPr>
        <w:rFonts w:asciiTheme="majorHAnsi" w:hAnsiTheme="majorHAnsi"/>
        <w:color w:val="002060"/>
      </w:rPr>
      <w:t>» серии «Белый Лотос»</w:t>
    </w:r>
  </w:p>
  <w:p w:rsidR="004E5A85" w:rsidRDefault="004E5A85" w:rsidP="004E5A85">
    <w:pPr>
      <w:pStyle w:val="a3"/>
      <w:tabs>
        <w:tab w:val="clear" w:pos="4677"/>
        <w:tab w:val="clear" w:pos="9355"/>
      </w:tabs>
      <w:ind w:left="0" w:right="-1"/>
      <w:rPr>
        <w:rFonts w:asciiTheme="majorHAnsi" w:hAnsiTheme="majorHAnsi"/>
        <w:color w:val="002060"/>
      </w:rPr>
    </w:pPr>
    <w:r w:rsidRPr="004E5A85">
      <w:rPr>
        <w:rFonts w:asciiTheme="majorHAnsi" w:hAnsiTheme="majorHAnsi"/>
        <w:color w:val="002060"/>
      </w:rPr>
      <w:t>Словарь иностранных слов и выражений</w:t>
    </w:r>
  </w:p>
  <w:p w:rsidR="00CD382C" w:rsidRDefault="00072C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A85" w:rsidRPr="00ED2594" w:rsidRDefault="004E5A85" w:rsidP="004E5A85">
    <w:pPr>
      <w:pStyle w:val="a3"/>
      <w:tabs>
        <w:tab w:val="clear" w:pos="4677"/>
        <w:tab w:val="clear" w:pos="9355"/>
      </w:tabs>
      <w:spacing w:line="276" w:lineRule="auto"/>
      <w:ind w:left="0" w:right="-1"/>
      <w:rPr>
        <w:rFonts w:asciiTheme="majorHAnsi" w:hAnsiTheme="majorHAnsi"/>
        <w:color w:val="002060"/>
      </w:rPr>
    </w:pPr>
    <w:r w:rsidRPr="00ED2594">
      <w:rPr>
        <w:rFonts w:asciiTheme="majorHAnsi" w:hAnsiTheme="majorHAnsi"/>
        <w:color w:val="002060"/>
      </w:rPr>
      <w:t>Е.П. Блаватская. Сборник статей «</w:t>
    </w:r>
    <w:r>
      <w:rPr>
        <w:rFonts w:asciiTheme="majorHAnsi" w:hAnsiTheme="majorHAnsi"/>
        <w:color w:val="002060"/>
      </w:rPr>
      <w:t>Новый Цикл</w:t>
    </w:r>
    <w:r w:rsidRPr="00ED2594">
      <w:rPr>
        <w:rFonts w:asciiTheme="majorHAnsi" w:hAnsiTheme="majorHAnsi"/>
        <w:color w:val="002060"/>
      </w:rPr>
      <w:t>» серии «Белый Лотос»</w:t>
    </w:r>
  </w:p>
  <w:p w:rsidR="004E5A85" w:rsidRDefault="004E5A85" w:rsidP="004E5A85">
    <w:pPr>
      <w:pStyle w:val="a3"/>
      <w:tabs>
        <w:tab w:val="clear" w:pos="4677"/>
        <w:tab w:val="clear" w:pos="9355"/>
      </w:tabs>
      <w:ind w:left="0" w:right="-1"/>
      <w:rPr>
        <w:rFonts w:asciiTheme="majorHAnsi" w:hAnsiTheme="majorHAnsi"/>
        <w:color w:val="002060"/>
      </w:rPr>
    </w:pPr>
    <w:r w:rsidRPr="004E5A85">
      <w:rPr>
        <w:rFonts w:asciiTheme="majorHAnsi" w:hAnsiTheme="majorHAnsi"/>
        <w:color w:val="002060"/>
      </w:rPr>
      <w:t>Словарь иностранных слов и выражений</w:t>
    </w:r>
  </w:p>
  <w:p w:rsidR="004E5A85" w:rsidRPr="004E5A85" w:rsidRDefault="004E5A85" w:rsidP="004E5A85">
    <w:pPr>
      <w:pStyle w:val="a3"/>
      <w:tabs>
        <w:tab w:val="clear" w:pos="4677"/>
        <w:tab w:val="clear" w:pos="9355"/>
      </w:tabs>
      <w:ind w:left="0" w:right="-1"/>
      <w:rPr>
        <w:rFonts w:asciiTheme="majorHAnsi" w:hAnsiTheme="majorHAnsi"/>
        <w:color w:val="00206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A85"/>
    <w:rsid w:val="00072CDC"/>
    <w:rsid w:val="004E5A85"/>
    <w:rsid w:val="00944E3E"/>
    <w:rsid w:val="00FC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Прим.2"/>
    <w:basedOn w:val="a"/>
    <w:next w:val="a"/>
    <w:rsid w:val="004E5A85"/>
    <w:pPr>
      <w:autoSpaceDE w:val="0"/>
      <w:autoSpaceDN w:val="0"/>
      <w:adjustRightInd w:val="0"/>
      <w:spacing w:before="0" w:after="0"/>
      <w:ind w:left="454" w:right="0" w:hanging="454"/>
      <w:jc w:val="both"/>
    </w:pPr>
    <w:rPr>
      <w:rFonts w:ascii="TimesET" w:hAnsi="TimesET" w:cs="TimesET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4E5A85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5A85"/>
  </w:style>
  <w:style w:type="paragraph" w:styleId="a5">
    <w:name w:val="footer"/>
    <w:basedOn w:val="a"/>
    <w:link w:val="a6"/>
    <w:uiPriority w:val="99"/>
    <w:unhideWhenUsed/>
    <w:rsid w:val="004E5A85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5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723</Words>
  <Characters>4127</Characters>
  <Application>Microsoft Office Word</Application>
  <DocSecurity>0</DocSecurity>
  <Lines>34</Lines>
  <Paragraphs>9</Paragraphs>
  <ScaleCrop>false</ScaleCrop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1</cp:revision>
  <dcterms:created xsi:type="dcterms:W3CDTF">2013-01-24T05:56:00Z</dcterms:created>
  <dcterms:modified xsi:type="dcterms:W3CDTF">2013-01-24T05:58:00Z</dcterms:modified>
</cp:coreProperties>
</file>